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77" w:rsidRPr="00723F69" w:rsidRDefault="00B65777" w:rsidP="00B65777">
      <w:pPr>
        <w:spacing w:line="400" w:lineRule="exact"/>
        <w:jc w:val="left"/>
        <w:rPr>
          <w:rFonts w:ascii="Arial" w:eastAsia="仿宋_GB2312" w:hAnsi="Arial" w:cs="Arial"/>
          <w:b/>
          <w:color w:val="333333"/>
          <w:sz w:val="24"/>
        </w:rPr>
      </w:pPr>
      <w:r w:rsidRPr="00723F69">
        <w:rPr>
          <w:rFonts w:ascii="Arial" w:eastAsia="仿宋_GB2312" w:hAnsi="Arial" w:cs="Arial"/>
          <w:b/>
          <w:color w:val="333333"/>
          <w:sz w:val="24"/>
        </w:rPr>
        <w:t>附件</w:t>
      </w:r>
      <w:r>
        <w:rPr>
          <w:rFonts w:ascii="Arial" w:eastAsia="仿宋_GB2312" w:hAnsi="Arial" w:cs="Arial" w:hint="eastAsia"/>
          <w:b/>
          <w:color w:val="333333"/>
          <w:sz w:val="24"/>
        </w:rPr>
        <w:t>3</w:t>
      </w:r>
    </w:p>
    <w:p w:rsidR="00B65777" w:rsidRPr="00DB0A93" w:rsidRDefault="00B65777" w:rsidP="00B65777">
      <w:pPr>
        <w:spacing w:line="400" w:lineRule="exact"/>
        <w:jc w:val="center"/>
        <w:rPr>
          <w:rFonts w:ascii="黑体" w:eastAsia="黑体" w:hAnsi="黑体" w:cs="Arial"/>
          <w:b/>
          <w:color w:val="333333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333333"/>
          <w:sz w:val="30"/>
          <w:szCs w:val="30"/>
        </w:rPr>
        <w:t>中国技术市场协会交通运输委员会</w:t>
      </w:r>
      <w:r>
        <w:rPr>
          <w:rFonts w:ascii="黑体" w:eastAsia="黑体" w:hAnsi="黑体" w:cs="Arial" w:hint="eastAsia"/>
          <w:b/>
          <w:color w:val="333333"/>
          <w:sz w:val="30"/>
          <w:szCs w:val="30"/>
        </w:rPr>
        <w:t>管理办法</w:t>
      </w:r>
    </w:p>
    <w:p w:rsidR="00B65777" w:rsidRPr="00B9260A" w:rsidRDefault="00B65777" w:rsidP="00B65777">
      <w:pPr>
        <w:widowControl/>
        <w:jc w:val="center"/>
        <w:rPr>
          <w:rFonts w:ascii="黑体" w:eastAsia="黑体" w:hAnsi="黑体" w:hint="eastAsia"/>
          <w:szCs w:val="21"/>
        </w:rPr>
      </w:pPr>
    </w:p>
    <w:p w:rsidR="00B65777" w:rsidRPr="00DB0A93" w:rsidRDefault="00B65777" w:rsidP="00B65777">
      <w:pPr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 w:rsidRPr="00DB0A93">
        <w:rPr>
          <w:rFonts w:ascii="黑体" w:eastAsia="黑体" w:hint="eastAsia"/>
          <w:b/>
          <w:color w:val="000000"/>
          <w:sz w:val="30"/>
          <w:szCs w:val="30"/>
        </w:rPr>
        <w:t>第一章</w:t>
      </w:r>
      <w:r w:rsidRPr="00DB0A93">
        <w:rPr>
          <w:rFonts w:ascii="黑体" w:eastAsia="黑体"/>
          <w:b/>
          <w:color w:val="000000"/>
          <w:sz w:val="30"/>
          <w:szCs w:val="30"/>
        </w:rPr>
        <w:t xml:space="preserve"> </w:t>
      </w:r>
      <w:r w:rsidRPr="00DB0A93">
        <w:rPr>
          <w:rFonts w:ascii="黑体" w:eastAsia="黑体" w:hint="eastAsia"/>
          <w:b/>
          <w:color w:val="000000"/>
          <w:sz w:val="30"/>
          <w:szCs w:val="30"/>
        </w:rPr>
        <w:t>总  则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第一条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根据《社会团体登记管理条例》和《中国技术市场协会章程》，制定本办法。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第二条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本团体名称为“中国技术市场协会交通运输委员会”（以下简称“交通委员会”），是中国技术市场协会的分支机构，成员由交通运输管理部门、科研院所、大专院校、科技型企业和专家学者组成的全国性非营利组织。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第三条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是整合交通运输行业内相关资源，发挥科技创新全产业链优势，维护成员单位利益，组织新技术、新产品、新工艺、新装备的研究、开发、推广和应用，助力交通强国建设。同时，承担中国技术市场协会委托的工作事项。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 w:rsidRPr="00DB0A93">
        <w:rPr>
          <w:rFonts w:ascii="黑体" w:eastAsia="黑体" w:hint="eastAsia"/>
          <w:b/>
          <w:color w:val="000000"/>
          <w:sz w:val="30"/>
          <w:szCs w:val="30"/>
        </w:rPr>
        <w:t>第二章</w:t>
      </w:r>
      <w:r w:rsidRPr="00DB0A93">
        <w:rPr>
          <w:rFonts w:ascii="黑体" w:eastAsia="黑体"/>
          <w:b/>
          <w:color w:val="000000"/>
          <w:sz w:val="30"/>
          <w:szCs w:val="30"/>
        </w:rPr>
        <w:t xml:space="preserve"> </w:t>
      </w:r>
      <w:r w:rsidRPr="00DB0A93">
        <w:rPr>
          <w:rFonts w:ascii="黑体" w:eastAsia="黑体" w:hint="eastAsia"/>
          <w:b/>
          <w:color w:val="000000"/>
          <w:sz w:val="30"/>
          <w:szCs w:val="30"/>
        </w:rPr>
        <w:t>任  务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第四条</w:t>
      </w:r>
      <w:r w:rsidRPr="00DB0A93">
        <w:rPr>
          <w:rFonts w:ascii="黑体" w:eastAsia="黑体" w:hAnsi="黑体" w:cs="Arial"/>
          <w:b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专注于交通运输行业的科技成果转化、推广应用，链接政、产、学、研、金等交通科技创新资源，在科技成果评价、团体标准制订、产品检测认证、专家咨询诊断、技术成果推介、品牌推广宣传、企业信用评价和技术成果交易等方面具备优势资源，成为交通运输行业科技成果转化、推广应用的重要平台。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第五条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经中国技术市场协会授权在交通运输相关领域内积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lastRenderedPageBreak/>
        <w:t>极发展会员。</w:t>
      </w:r>
    </w:p>
    <w:p w:rsidR="00B65777" w:rsidRPr="00DB0A93" w:rsidRDefault="00B65777" w:rsidP="00B65777">
      <w:pPr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 w:rsidRPr="00DB0A93">
        <w:rPr>
          <w:rFonts w:ascii="黑体" w:eastAsia="黑体" w:hint="eastAsia"/>
          <w:b/>
          <w:color w:val="000000"/>
          <w:sz w:val="30"/>
          <w:szCs w:val="30"/>
        </w:rPr>
        <w:t>第三章</w:t>
      </w:r>
      <w:r w:rsidRPr="00DB0A93">
        <w:rPr>
          <w:rFonts w:ascii="黑体" w:eastAsia="黑体"/>
          <w:b/>
          <w:color w:val="000000"/>
          <w:sz w:val="30"/>
          <w:szCs w:val="30"/>
        </w:rPr>
        <w:t xml:space="preserve"> </w:t>
      </w:r>
      <w:r w:rsidRPr="00DB0A93">
        <w:rPr>
          <w:rFonts w:ascii="黑体" w:eastAsia="黑体" w:hint="eastAsia"/>
          <w:b/>
          <w:color w:val="000000"/>
          <w:sz w:val="30"/>
          <w:szCs w:val="30"/>
        </w:rPr>
        <w:t>组织机构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第六条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交通委员会的领导机构是委员会。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委员会委员在充分酝酿和民主协商的基础上产生，单位会员委员人选由各单位推荐。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第七条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委员会设主任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1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人、常务副主任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1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人、副主任若干人、常务委员若干人和秘书长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1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人，由委员会采取民主方式选举产生。其中，委员会主任、常务副主任、秘书长人选报请中国技术市场协会同意后生效。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在委员会休会期间，常务委员会负责行使委员会的职责。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 xml:space="preserve">第八条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委员会设秘书处，挂靠在交科院科技集团有限公司，负责处理交通委员会的日常工作。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秘书处设秘书长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1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人、常务副秘书长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1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人和副秘书长若干人。常务副秘书长、副秘书长由秘书长提名，经委员会同意后生效。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秘书处的主要职责：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（一）负责与协会、委员、会员以及各相关部门的联络沟通、协调督导工作；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（二）组织执行交通委员会的各项决议；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（三）完成交通委员会年度工作计划；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（四）负责交通委员会其他日常工作。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第九条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交通委员会设专家委员会，专家委员会可根据不同的专业技术领域组建相应的专家组。专家委员会委员由会员推荐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lastRenderedPageBreak/>
        <w:t>及行业专家中遴选。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专家委员会主要职责是为交通委员会提供专业技术支持工作。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 xml:space="preserve">第十条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交通委员会每年召开一次全体委员会委员会议，由交通委员会主任或其委托的副主任主持，会议主要议程包括：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（一）审议交通委员会年度工作报告及财务收支情况；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（二）研究提出交通委员会的工作方针和年度工作计划；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（三）确定调整、增补和罢免委员；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（四）研究其它有关事项。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第十一条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交通委员会委员每届任期五年。主任、常务副主任、副主任和秘书长任期原则上不超过两届。</w:t>
      </w:r>
    </w:p>
    <w:p w:rsidR="00B65777" w:rsidRPr="00DB0A93" w:rsidRDefault="00B65777" w:rsidP="00B65777">
      <w:pPr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 w:rsidRPr="00DB0A93">
        <w:rPr>
          <w:rFonts w:ascii="黑体" w:eastAsia="黑体" w:hint="eastAsia"/>
          <w:b/>
          <w:color w:val="000000"/>
          <w:sz w:val="30"/>
          <w:szCs w:val="30"/>
        </w:rPr>
        <w:t>第四章</w:t>
      </w:r>
      <w:r w:rsidRPr="00DB0A93">
        <w:rPr>
          <w:rFonts w:ascii="黑体" w:eastAsia="黑体"/>
          <w:b/>
          <w:color w:val="000000"/>
          <w:sz w:val="30"/>
          <w:szCs w:val="30"/>
        </w:rPr>
        <w:t xml:space="preserve"> </w:t>
      </w:r>
      <w:r w:rsidRPr="00DB0A93">
        <w:rPr>
          <w:rFonts w:ascii="黑体" w:eastAsia="黑体" w:hint="eastAsia"/>
          <w:b/>
          <w:color w:val="000000"/>
          <w:sz w:val="30"/>
          <w:szCs w:val="30"/>
        </w:rPr>
        <w:t>会员管理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第十二条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交通委员会的会员分为单位会员和个人会员。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第十三条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交通委员会会员应具备下列条件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（一）拥护并自觉遵守协会章程和本管理办法；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（二）积极参与交通委员会工作并愿意发挥作用；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（三）在交通运输行业具有较大影响和代表性。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第十四条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交通委员会会员的权利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（一）享有选举权、被选举权和表决权；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（二）享有参加交通委员会举办的各类学术会议、考察以及其他活动的优先权；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（三）享有优先获得交通委员会印发资料和相关信息的权利；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lastRenderedPageBreak/>
        <w:t>（四）享有对交通委员会工作的建议权和监督权。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第十五条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交通委员会会员的义务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（一）遵守交通委员会管理办法，执行交通委员会的决议；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（二）完成交通委员会交办的工作任务；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（三）为交通委员会开展的活动提供可能的帮助。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第十六条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交通委员会会员根据自身意愿有权退出交通委员会，但需向交通委员会提交书面通知；交通委员会会员违反交通委员会规定、不履行义务的，交通委员会有权予以除名。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 xml:space="preserve">第十七条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交通委员会委员如有严重违反本管理办法的行为，交通委员会可要求交通委员会委员单位更换人选。</w:t>
      </w:r>
    </w:p>
    <w:p w:rsidR="00B65777" w:rsidRPr="00DB0A93" w:rsidRDefault="00B65777" w:rsidP="00B65777">
      <w:pPr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 w:rsidRPr="00DB0A93">
        <w:rPr>
          <w:rFonts w:ascii="黑体" w:eastAsia="黑体" w:hint="eastAsia"/>
          <w:b/>
          <w:color w:val="000000"/>
          <w:sz w:val="30"/>
          <w:szCs w:val="30"/>
        </w:rPr>
        <w:t>第五章</w:t>
      </w:r>
      <w:r w:rsidRPr="00DB0A93">
        <w:rPr>
          <w:rFonts w:ascii="黑体" w:eastAsia="黑体"/>
          <w:b/>
          <w:color w:val="000000"/>
          <w:sz w:val="30"/>
          <w:szCs w:val="30"/>
        </w:rPr>
        <w:t xml:space="preserve"> </w:t>
      </w:r>
      <w:r w:rsidRPr="00DB0A93">
        <w:rPr>
          <w:rFonts w:ascii="黑体" w:eastAsia="黑体" w:hint="eastAsia"/>
          <w:b/>
          <w:color w:val="000000"/>
          <w:sz w:val="30"/>
          <w:szCs w:val="30"/>
        </w:rPr>
        <w:t>经  费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第十八条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经费来源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（一）在核准的业务范围内开展活动或服务的收入；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（二）成员单位、国内外其他单位或团体及个人的赞助和捐赠；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（三）政府和社会资助；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（四）会费；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（五）其他合法收入。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第十九条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交通委员会经费必须用于规定的业务范围和事业发展，不得在成员中分配。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经费支出包括：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（一）召开会议、举办活动的费用；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lastRenderedPageBreak/>
        <w:t>（二）编印报告、刊物、资料及宣传费用；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（三）交通委员会秘书处日常运营及办公经费；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（四）网站及宣传交流的运营支出；</w:t>
      </w:r>
    </w:p>
    <w:p w:rsidR="00B65777" w:rsidRPr="00DB0A93" w:rsidRDefault="00B65777" w:rsidP="00B65777">
      <w:pPr>
        <w:ind w:firstLineChars="200" w:firstLine="600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（五）交通委员会工作所需要的其他经费开支。</w:t>
      </w:r>
    </w:p>
    <w:p w:rsidR="00B65777" w:rsidRPr="00DB0A93" w:rsidRDefault="00B65777" w:rsidP="00B65777">
      <w:pPr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 w:rsidRPr="00DB0A93">
        <w:rPr>
          <w:rFonts w:ascii="黑体" w:eastAsia="黑体" w:hint="eastAsia"/>
          <w:b/>
          <w:color w:val="000000"/>
          <w:sz w:val="30"/>
          <w:szCs w:val="30"/>
        </w:rPr>
        <w:t>第六章</w:t>
      </w:r>
      <w:r w:rsidRPr="00DB0A93">
        <w:rPr>
          <w:rFonts w:ascii="黑体" w:eastAsia="黑体"/>
          <w:b/>
          <w:color w:val="000000"/>
          <w:sz w:val="30"/>
          <w:szCs w:val="30"/>
        </w:rPr>
        <w:t xml:space="preserve"> </w:t>
      </w:r>
      <w:r w:rsidRPr="00DB0A93">
        <w:rPr>
          <w:rFonts w:ascii="黑体" w:eastAsia="黑体" w:hint="eastAsia"/>
          <w:b/>
          <w:color w:val="000000"/>
          <w:sz w:val="30"/>
          <w:szCs w:val="30"/>
        </w:rPr>
        <w:t>终  止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第二十条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交通委员会因完成宗旨需自行解散或由于分立、合并等原因需要解散的，由交通委员会全体会员代表大会提出终止决议。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 w:hint="eastAsia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第二十一条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交通委员会终止决议须经全体会员代表大会表决通过，并报中国技术市场协会审查同意。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第二十二条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交通委员会终止前，须在中国技术市场协会指导下处理善后事宜。</w:t>
      </w:r>
    </w:p>
    <w:p w:rsidR="00B65777" w:rsidRPr="00DB0A93" w:rsidRDefault="00B65777" w:rsidP="00B65777">
      <w:pPr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 w:rsidRPr="00DB0A93">
        <w:rPr>
          <w:rFonts w:ascii="黑体" w:eastAsia="黑体" w:hint="eastAsia"/>
          <w:b/>
          <w:color w:val="000000"/>
          <w:sz w:val="30"/>
          <w:szCs w:val="30"/>
        </w:rPr>
        <w:t>第七章</w:t>
      </w:r>
      <w:r w:rsidRPr="00DB0A93">
        <w:rPr>
          <w:rFonts w:ascii="黑体" w:eastAsia="黑体"/>
          <w:b/>
          <w:color w:val="000000"/>
          <w:sz w:val="30"/>
          <w:szCs w:val="30"/>
        </w:rPr>
        <w:t xml:space="preserve"> </w:t>
      </w:r>
      <w:r w:rsidRPr="00DB0A93">
        <w:rPr>
          <w:rFonts w:ascii="黑体" w:eastAsia="黑体" w:hint="eastAsia"/>
          <w:b/>
          <w:color w:val="000000"/>
          <w:sz w:val="30"/>
          <w:szCs w:val="30"/>
        </w:rPr>
        <w:t>附  则</w:t>
      </w:r>
    </w:p>
    <w:p w:rsidR="00B65777" w:rsidRPr="00DB0A93" w:rsidRDefault="00B65777" w:rsidP="00B65777">
      <w:pPr>
        <w:ind w:firstLineChars="200" w:firstLine="602"/>
        <w:rPr>
          <w:rFonts w:ascii="Arial" w:eastAsia="仿宋" w:hAnsi="Arial" w:cs="Arial"/>
          <w:color w:val="000000"/>
          <w:sz w:val="30"/>
          <w:szCs w:val="30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第二十三条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本办法自全体会员代表大会表决通过之日起生效。</w:t>
      </w:r>
    </w:p>
    <w:p w:rsidR="00182638" w:rsidRPr="00B65777" w:rsidRDefault="00B65777" w:rsidP="00B65777">
      <w:pPr>
        <w:ind w:firstLineChars="200" w:firstLine="602"/>
        <w:rPr>
          <w:rFonts w:ascii="Arial" w:eastAsia="仿宋_GB2312" w:hAnsi="Arial" w:cs="Arial" w:hint="eastAsia"/>
          <w:color w:val="333333"/>
          <w:sz w:val="24"/>
        </w:rPr>
      </w:pPr>
      <w:r w:rsidRPr="00DB0A93">
        <w:rPr>
          <w:rFonts w:ascii="黑体" w:eastAsia="黑体" w:hAnsi="黑体" w:cs="Arial" w:hint="eastAsia"/>
          <w:b/>
          <w:color w:val="000000"/>
          <w:sz w:val="30"/>
          <w:szCs w:val="30"/>
        </w:rPr>
        <w:t>第二十四条</w:t>
      </w:r>
      <w:r w:rsidRPr="00DB0A93">
        <w:rPr>
          <w:rFonts w:ascii="Arial" w:eastAsia="仿宋" w:hAnsi="Arial" w:cs="Arial"/>
          <w:color w:val="000000"/>
          <w:sz w:val="30"/>
          <w:szCs w:val="30"/>
        </w:rPr>
        <w:t xml:space="preserve"> </w:t>
      </w:r>
      <w:r w:rsidRPr="00DB0A93">
        <w:rPr>
          <w:rFonts w:ascii="Arial" w:eastAsia="仿宋" w:hAnsi="Arial" w:cs="Arial" w:hint="eastAsia"/>
          <w:color w:val="000000"/>
          <w:sz w:val="30"/>
          <w:szCs w:val="30"/>
        </w:rPr>
        <w:t>本办法解释权归中国技术市场协会交通运输委员会。</w:t>
      </w:r>
      <w:bookmarkStart w:id="0" w:name="_GoBack"/>
      <w:bookmarkEnd w:id="0"/>
    </w:p>
    <w:sectPr w:rsidR="00182638" w:rsidRPr="00B65777" w:rsidSect="00671D6B">
      <w:headerReference w:type="default" r:id="rId4"/>
      <w:footerReference w:type="even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8" w:rsidRDefault="00B65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658" w:rsidRDefault="00B6577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8" w:rsidRDefault="00B65777" w:rsidP="0012424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77"/>
    <w:rsid w:val="00182638"/>
    <w:rsid w:val="00B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F03B"/>
  <w15:chartTrackingRefBased/>
  <w15:docId w15:val="{DC6F74B2-B75D-485C-BA96-98590EC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5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657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5777"/>
  </w:style>
  <w:style w:type="paragraph" w:styleId="a6">
    <w:name w:val="header"/>
    <w:basedOn w:val="a"/>
    <w:link w:val="a7"/>
    <w:rsid w:val="00B6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657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</dc:creator>
  <cp:keywords/>
  <dc:description/>
  <cp:lastModifiedBy>wang yu</cp:lastModifiedBy>
  <cp:revision>1</cp:revision>
  <dcterms:created xsi:type="dcterms:W3CDTF">2020-08-19T07:04:00Z</dcterms:created>
  <dcterms:modified xsi:type="dcterms:W3CDTF">2020-08-19T07:05:00Z</dcterms:modified>
</cp:coreProperties>
</file>